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i w:val="0"/>
          <w:caps w:val="0"/>
          <w:color w:val="333333"/>
          <w:spacing w:val="0"/>
          <w:sz w:val="32"/>
          <w:szCs w:val="32"/>
          <w:shd w:val="clear" w:fill="FFFFFF"/>
        </w:rPr>
      </w:pPr>
      <w:r>
        <w:rPr>
          <w:rFonts w:hint="eastAsia" w:ascii="方正小标宋简体" w:hAnsi="方正小标宋简体" w:eastAsia="方正小标宋简体" w:cs="方正小标宋简体"/>
          <w:i w:val="0"/>
          <w:caps w:val="0"/>
          <w:color w:val="333333"/>
          <w:spacing w:val="0"/>
          <w:sz w:val="32"/>
          <w:szCs w:val="32"/>
          <w:shd w:val="clear" w:fill="FFFFFF"/>
        </w:rPr>
        <w:t>关于《中华人民共和国民法典(草案)》的说明</w:t>
      </w:r>
    </w:p>
    <w:p>
      <w:pPr>
        <w:jc w:val="center"/>
        <w:rPr>
          <w:rFonts w:hint="eastAsia" w:ascii="楷体" w:hAnsi="楷体" w:eastAsia="楷体" w:cs="楷体"/>
          <w:sz w:val="28"/>
          <w:szCs w:val="28"/>
        </w:rPr>
      </w:pPr>
      <w:r>
        <w:rPr>
          <w:rFonts w:hint="eastAsia" w:ascii="楷体" w:hAnsi="楷体" w:eastAsia="楷体" w:cs="楷体"/>
          <w:sz w:val="28"/>
          <w:szCs w:val="28"/>
        </w:rPr>
        <w:t>——2020年5月22日在第十三届全国人民代表大会第三次会议上</w:t>
      </w:r>
    </w:p>
    <w:p>
      <w:pPr>
        <w:jc w:val="center"/>
        <w:rPr>
          <w:rFonts w:hint="eastAsia" w:ascii="楷体" w:hAnsi="楷体" w:eastAsia="楷体" w:cs="楷体"/>
          <w:sz w:val="30"/>
          <w:szCs w:val="30"/>
        </w:rPr>
      </w:pPr>
      <w:r>
        <w:rPr>
          <w:rFonts w:hint="eastAsia" w:ascii="楷体" w:hAnsi="楷体" w:eastAsia="楷体" w:cs="楷体"/>
          <w:sz w:val="30"/>
          <w:szCs w:val="30"/>
        </w:rPr>
        <w:t>全国人民代表大会常务委员会副委员长 王晨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各位代表：</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我受全国人大常委会委托，作关于《中华人民共和国民法典(草案)》的说明。</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sz w:val="30"/>
          <w:szCs w:val="30"/>
        </w:rPr>
      </w:pPr>
      <w:r>
        <w:rPr>
          <w:rFonts w:hint="eastAsia" w:ascii="黑体" w:hAnsi="黑体" w:eastAsia="黑体" w:cs="黑体"/>
          <w:sz w:val="30"/>
          <w:szCs w:val="30"/>
          <w:lang w:eastAsia="zh-CN"/>
        </w:rPr>
        <w:t xml:space="preserve">    </w:t>
      </w:r>
      <w:r>
        <w:rPr>
          <w:rFonts w:hint="eastAsia" w:ascii="黑体" w:hAnsi="黑体" w:eastAsia="黑体" w:cs="黑体"/>
          <w:sz w:val="30"/>
          <w:szCs w:val="30"/>
        </w:rPr>
        <w:t>一、编纂民法典的重大意义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编纂民法典是党的十八届四中全会确定的一项重大政治任务和立法任务，是以习近平同志为核心的党中央作出的重大法治建设部署。编纂民法典，就是通过对我国现行的民事法律制度规范进行系统整合、编订纂修，形成一部适应新时代中国特色社会主义发展要求，符合我国国情和实际，体例科学、结构严谨、规范合理、内容完整并协调一致的法典。这是一项系统的、重大的立法工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编纂一部真正属于中国人民的民法典，是新中国几代人的夙愿。党和国家曾于1954年、1962年、1979年和2001年先后四次启动民法制定工作。第一次和第二次，由于多种原因而未能取得实际成果。1979年第三次启动，由于刚刚进入改革开放新时期，制定一部完整民法典的条件尚不具备。因此，当时领导全国人大法制委员会立法工作的彭真、习仲勋等同志深入研究后，在八十年代初决定按照“成熟一个通过一个”的工作思路，确定先制定民事单行法律。现行的继承法、民法通则、担保法、合同法就是在这种工作思路下先后制定的。2001年，九届全国人大常委会组织起草了《中华人民共和国民法(草案)》，并于2002年12月进行了一次审议。经讨论和研究，仍确定继续采取分别制定单行法的办法推进我国民事法律制度建设。2003年十届全国人大以来，又陆续制定了物权法、侵权责任法、涉外民事关系法律适用法等。总的看，经过多年来努力，我国民事立法是富有成效的，逐步形成了比较完备的民事法律规范体系，民事司法实践积累了丰富经验，民事法律服务取得显著进步，民法理论研究也达到较高水平，全社会民事法治观念普遍增强，为编纂民法典奠定了较好的制度基础、实践基础、理论基础和社会基础。随着我国社会主义现代化事业不断发展和全面依法治国深入推进，人民群众和社会各方面对编纂和出台民法典寄予很大的期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党的十八大以来，以习近平同志为核心的党中央把全面依法治国摆在突出位置，推动党和国家事业发生历史性变革、取得历史性成就，中国特色社会主义已经进入新时代。在坚持和完善中国特色社会主义制度、推进国家治理体系和治理能力现代化的新征程中，编纂民法典具有重大而深远的意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30"/>
          <w:szCs w:val="30"/>
        </w:rPr>
      </w:pPr>
      <w:r>
        <w:rPr>
          <w:rFonts w:hint="eastAsia" w:ascii="楷体" w:hAnsi="楷体" w:eastAsia="楷体" w:cs="楷体"/>
          <w:sz w:val="30"/>
          <w:szCs w:val="30"/>
          <w:lang w:eastAsia="zh-CN"/>
        </w:rPr>
        <w:t xml:space="preserve">    </w:t>
      </w:r>
      <w:r>
        <w:rPr>
          <w:rFonts w:hint="eastAsia" w:ascii="楷体" w:hAnsi="楷体" w:eastAsia="楷体" w:cs="楷体"/>
          <w:sz w:val="30"/>
          <w:szCs w:val="30"/>
        </w:rPr>
        <w:t>(一)编纂民法典是坚持和完善中国特色社会主义制度的现实需要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回顾人类文明史，编纂法典是具有重要标志意义的法治建设工程，是一个国家、一个民族走向繁荣强盛的象征和标志。新中国成立70多年特别是改革开放40多年来，中国共产党团结带领中国人民不懈奋斗，成功开辟了中国特色社会主义道路，取得了举世瞩目的发展成就，中国特色社会主义制度展现出强大生命力和显著优越性。我国民事法律制度正是伴随着新时期改革开放和社会主义现代化建设的历史进程而形成并不断发展完善的，是中国特色社会主义法律制度的重要组成部分。在系统总结制度建设成果和实践经验的基础上，编纂一部具有中国特色、体现时代特点、反映人民意愿的民法典，不仅能充分彰显中国特色社会主义法律制度成果和制度自信，促进和保障中国特色社会主义事业不断发展，也能为人类法治文明的发展进步贡献中国智慧和中国方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30"/>
          <w:szCs w:val="30"/>
        </w:rPr>
      </w:pPr>
      <w:r>
        <w:rPr>
          <w:rFonts w:hint="eastAsia" w:ascii="楷体" w:hAnsi="楷体" w:eastAsia="楷体" w:cs="楷体"/>
          <w:sz w:val="30"/>
          <w:szCs w:val="30"/>
          <w:lang w:eastAsia="zh-CN"/>
        </w:rPr>
        <w:t xml:space="preserve">    </w:t>
      </w:r>
      <w:r>
        <w:rPr>
          <w:rFonts w:hint="eastAsia" w:ascii="楷体" w:hAnsi="楷体" w:eastAsia="楷体" w:cs="楷体"/>
          <w:sz w:val="30"/>
          <w:szCs w:val="30"/>
        </w:rPr>
        <w:t>(二)编纂民法典是推进全面依法治国、推进国家治理体系和治理能力现代化的重大举措</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民法是中国特色社会主义法律体系的重要组成部分，是民事领域的基础性、综合性法律，它规范各类民事主体的各种人身关系和财产关系，涉及社会和经济生活的方方面面，被称为“社会生活的百科全书”。建立健全完备的法律规范体系，以良法保障善治，是全面依法治国的前提和基础。民法通过确立民事主体、民事权利、民事法律行为、民事责任等民事总则制度，确立物权、合同、人格权、婚姻家庭、继承、侵权责任等民事分则制度，来调整各类民事关系。民法与国家其他领域法律规范一起，支撑着国家制度和国家治理体系，是保证国家制度和国家治理体系正常有效运行的基础性法律规范。编纂民法典，就是全面总结我国的民事立法和司法的实践经验，对现行民事单行法律进行系统编订纂修，将相关民事法律规范编纂成一部综合性法典，不断健全完善中国特色社会主义法律体系。这对于以法治方式推进国家治理体系和治理能力现代化，更好地发挥法治固根本、稳预期、利长远的保障作用，具有重要意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30"/>
          <w:szCs w:val="30"/>
        </w:rPr>
      </w:pPr>
      <w:r>
        <w:rPr>
          <w:rFonts w:hint="eastAsia" w:ascii="楷体" w:hAnsi="楷体" w:eastAsia="楷体" w:cs="楷体"/>
          <w:sz w:val="30"/>
          <w:szCs w:val="30"/>
          <w:lang w:eastAsia="zh-CN"/>
        </w:rPr>
        <w:t xml:space="preserve">    </w:t>
      </w:r>
      <w:r>
        <w:rPr>
          <w:rFonts w:hint="eastAsia" w:ascii="楷体" w:hAnsi="楷体" w:eastAsia="楷体" w:cs="楷体"/>
          <w:sz w:val="30"/>
          <w:szCs w:val="30"/>
        </w:rPr>
        <w:t>(三)编纂民法典是坚持和完善社会主义基本经济制度、推动经济高质量发展的客观要求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公有制为主体、多种所有制经济共同发展，按劳分配为主体、多种分配方式并存，社会主义市场经济体制等社会主义基本经济制度，是以法治为基础、在法治轨道上运行、受法治规则调整的经济制度，社会主义市场经济本质上是法治经济。我国民事主体制度中的法人制度，规范民事活动的民事法律行为制度、代理制度，调整各类财产关系的物权制度，调整各类交易关系的合同制度，保护和救济民事权益的侵权责任制度，都是坚持和完善社会主义基本经济制度不可或缺的法律制度规范和行为规则。同时，我国民事法律制度建设一直秉持“民商合一”的传统，把许多商事法律规范纳入民法之中。编纂民法典，进一步完善我国民商事领域基本法律制度和行为规则，为各类民商事活动提供基本遵循，有利于充分调动民事主体的积极性和创造性、维护交易安全、维护市场秩序，有利于营造各种所有制主体依法平等使用资源要素、公开公平公正参与竞争、同等受到法律保护的市场环境，推动经济高质量发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30"/>
          <w:szCs w:val="30"/>
        </w:rPr>
      </w:pPr>
      <w:r>
        <w:rPr>
          <w:rFonts w:hint="eastAsia" w:ascii="楷体" w:hAnsi="楷体" w:eastAsia="楷体" w:cs="楷体"/>
          <w:sz w:val="30"/>
          <w:szCs w:val="30"/>
          <w:lang w:eastAsia="zh-CN"/>
        </w:rPr>
        <w:t xml:space="preserve">    </w:t>
      </w:r>
      <w:r>
        <w:rPr>
          <w:rFonts w:hint="eastAsia" w:ascii="楷体" w:hAnsi="楷体" w:eastAsia="楷体" w:cs="楷体"/>
          <w:sz w:val="30"/>
          <w:szCs w:val="30"/>
        </w:rPr>
        <w:t>(四)编纂民法典是增进人民福祉、维护最广大人民根本利益的必然要求</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中国特色社会主义法治建设的根本目的是保障人民权益。改革开放以来，我国民事法律制度逐步得到完善和发展，公民的民事权利也得到越来越充分的保护。中国特色社会主义进入新时代，随着我国社会主要矛盾的变化，随着经济发展和国民财富的不断积累，随着信息化和大数据时代的到来，人民群众在民主、法治、公平、正义、安全、环境等方面的要求日益增长，希望对权利的保护更加充分、更加有效。党的十九大明确提出，要保护人民人身权、财产权、人格权。而现行民事立法中的有些规范已经滞后，难以适应人民日益增长的美好生活需要。编纂民法典，健全和充实民事权利种类，形成更加完备的民事权利体系，完善权利保护和救济规则，形成规范有效的权利保护机制，对于更好地维护人民权益，不断增加人民群众获得感、幸福感和安全感，促进人的全面发展，具有十分重要的意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sz w:val="30"/>
          <w:szCs w:val="30"/>
        </w:rPr>
      </w:pPr>
      <w:r>
        <w:rPr>
          <w:rFonts w:hint="eastAsia" w:ascii="黑体" w:hAnsi="黑体" w:eastAsia="黑体" w:cs="黑体"/>
          <w:sz w:val="30"/>
          <w:szCs w:val="30"/>
          <w:lang w:eastAsia="zh-CN"/>
        </w:rPr>
        <w:t xml:space="preserve">    </w:t>
      </w:r>
      <w:r>
        <w:rPr>
          <w:rFonts w:hint="eastAsia" w:ascii="黑体" w:hAnsi="黑体" w:eastAsia="黑体" w:cs="黑体"/>
          <w:sz w:val="30"/>
          <w:szCs w:val="30"/>
        </w:rPr>
        <w:t>二、编纂民法典的总体要求和基本原则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民法典是新中国第一部以法典命名的法律，开创了我国法典编纂立法的先河，具有里程碑意义。以习近平同志为核心的党中央高度重视民法典编纂工作，将编纂民法典列入党中央重要工作议程，并对编纂民法典工作任务作出总体部署、提出明确要求。十二届、十三届全国人大常委会都高度重视这一立法工作，将编纂民法典纳入全国人大常委会立法规划和年度立法工作计划，确定为全国人大常委会的立法工作重点项目，积极持续推进。为做好民法典编纂工作，全国人大常委会党组先后多次向党中央请示和报告，就民法典编纂工作的总体考虑、工作步骤、体例结构等重大问题进行汇报。2016年6月、2018年8月、2019年12月，习近平总书记三次主持中央政治局常委会会议，听取并原则同意全国人大常委会党组就民法典编纂工作所作的请示汇报，对民法典编纂工作作出重要指示，为民法典编纂工作提供了重要指导和基本遵循。</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编纂民法典的指导思想是：高举中国特色社会主义伟大旗帜，以马克思列宁主义、毛泽东思想、邓小平理论、“三个代表”重要思想、科学发展观、习近平新时代中国特色社会主义思想为指导，增强“四个意识”，坚定“四个自信”，做到“两个维护”，全面贯彻党的十八大、十九大和有关中央全会精神，坚持党的领导、人民当家作主、依法治国有机统一，紧紧围绕统筹推进“五位一体”总体布局和协调推进“四个全面”战略布局，紧紧围绕建设中国特色社会主义法治体系、建设社会主义法治国家，总结实践经验，适应时代要求，对我国现行的、制定于不同时期的民法通则、物权法、合同法、担保法、婚姻法、收养法、继承法、侵权责任法和人格权方面的民事法律规范进行全面系统的编订纂修，形成一部具有中国特色、体现时代特点、反映人民意愿的民法典，为新时代坚持和完善中国特色社会主义制度、实现“两个一百年”奋斗目标、实现中华民族伟大复兴中国梦提供完备的民事法治保障。</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贯彻上述指导思想，切实做好民法典编纂工作，必须遵循和体现以下基本原则：一是坚持正确政治方向，全面贯彻习近平总书记全面依法治国新理念新思想新战略，坚决贯彻党中央的决策部署，坚持服务党和国家工作大局，充分发挥民法典在坚持和完善中国特色社会主义制度、推进国家治理体系和治理能力现代化中的重要作用。二是坚持以人民为中心，以保护民事权利为出发点和落脚点，切实回应人民的法治需求，更好地满足人民日益增长的美好生活需要，充分实现好、维护好、发展好最广大人民的根本利益，使民法典成为新时代保护人民民事权利的好法典。三是坚持立足国情和实际，全面总结我国改革开放40多年来民事立法和实践经验，以法典化方式巩固、确认和发展民事法治建设成果，以实践需求指引立法方向，提高民事法律制度的针对性、有效性、适应性，发挥法治的引领、规范、保障作用。四是坚持依法治国与以德治国相结合，注重将社会主义核心价值观融入民事法律规范，大力弘扬传统美德和社会公德，强化规则意识，倡导契约精神，维护公序良俗。五是坚持科学立法、民主立法、依法立法，不断增强民事法律规范的系统性、完整性，既保持民事法律制度的连续性、稳定性，又保持适度的前瞻性、开放性，同时处理好、衔接好法典化民事法律制度下各类规范之间的关系。</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sz w:val="30"/>
          <w:szCs w:val="30"/>
        </w:rPr>
      </w:pPr>
      <w:r>
        <w:rPr>
          <w:rFonts w:hint="eastAsia" w:ascii="黑体" w:hAnsi="黑体" w:eastAsia="黑体" w:cs="黑体"/>
          <w:sz w:val="30"/>
          <w:szCs w:val="30"/>
          <w:lang w:eastAsia="zh-CN"/>
        </w:rPr>
        <w:t xml:space="preserve">    </w:t>
      </w:r>
      <w:r>
        <w:rPr>
          <w:rFonts w:hint="eastAsia" w:ascii="黑体" w:hAnsi="黑体" w:eastAsia="黑体" w:cs="黑体"/>
          <w:sz w:val="30"/>
          <w:szCs w:val="30"/>
        </w:rPr>
        <w:t>三、民法典编纂工作情况</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根据党中央的工作部署，编纂民法典的起草工作由全国人大常委会法制工作委员会牵头，最高人民法院、最高人民检察院、司法部、中国社会科学院、中国法学会为参加单位。为做好民法典编纂工作，全国人大常委会法制工作委员会与五家参加单位成立了民法典编纂工作协调小组，并成立了民法典编纂工作专班。</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编纂民法典不是制定全新的民事法律，也不是简单的法律汇编，而是对现行的民事法律规范进行编订纂修，对已经不适应现实情况的规定进行修改完善，对经济社会生活中出现的新情况、新问题作出有针对性的新规定。编纂民法典采取“两步走”的工作思路进行：第一步，制定民法总则，作为民法典的总则编；第二步，编纂民法典各分编，经全国人大常委会审议和修改完善后，再与民法总则合并为一部完整的民法典草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2015年3月，全国人大常委会法制工作委员会启动民法典编纂工作，着手第一步的民法总则制定工作，以1986年制定的民法通则为基础，系统梳理总结有关民事法律的实践经验，提炼民事法律制度中具有普遍适用性和引领性的规则，形成民法总则草案，2016年由十二届全国人大常委会进行了三次审议，2017年3月由第十二届全国人民代表大会第五次会议审议通过。制定民法总则，完成了民法典编纂工作的第一步，为民法典编纂奠定了坚实基础。</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民法总则通过后，十二届、十三届全国人大常委会接续努力、抓紧开展作为民法典编纂第二步的各分编编纂工作。法制工作委员会与民法典编纂工作各参加单位全力推进民法典各分编编纂工作，系统梳理、研究历年来有关方面提出的意见，开展立法调研，广泛听取意见建议，以现行物权法、合同法、担保法、婚姻法、收养法、继承法、侵权责任法等为基础，结合我国经济社会发展对民事法律提出的新需求，形成了包括物权、合同、人格权、婚姻家庭、继承、侵权责任等6个分编在内的民法典各分编草案，提请2018年8月召开的第十三届全国人大常委会第五次会议审议。其后，2018年12月、2019年4月、6月、8月、10月，第十三届全国人大常委会第七次、第十次、第十一次、第十二次、第十四次会议对民法典各分编草案进行了拆分审议，对全部6个分编草案进行了二审，对各方面比较关注的人格权、婚姻家庭、侵权责任3个分编草案进行了三审。在此基础上，将民法总则与经过常委会审议和修改完善的民法典各分编草案合并，形成《中华人民共和国民法典(草案)》，提请2019年12月召开的第十三届全国人大常委会第十五次会议审议。经审议，全国人大常委会作出决定，将民法典草案提请本次大会审议。</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民法典草案经全国人大常委会审议后，全国人大常委会办公厅将草案印发十三届全国人大代表、部署组织全国人大代表研读讨论民法典草案工作，征求代表意见。同时，法制工作委员会还将草案印发地方人大、基层立法联系点、中央有关部门征求意见，并在中国人大网公布征求社会公众意见。法制工作委员会还在北京召开多个座谈会，听取有关部门、专家的意见。各方面普遍认为，编纂民法典，对于完善中国特色社会主义法律体系，以法治方式推进国家治理体系和治理能力现代化，切实维护最广大人民的根本利益，促进社会公平正义具有重要意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新冠肺炎疫情发生以来，全国人大常委会高度关注，栗战书委员长多次就贯彻落实习近平总书记对疫情防控工作的重要讲话精神和党中央决策部署，为疫情防控工作提供法治保障提出明确的工作要求。我们认真学习贯彻习近平总书记重要讲话精神和党中央决策部署，结合民法典编纂工作，对与疫情相关的民事法律制度进行梳理研究，对草案作了有针对性的修改完善。</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2020年4月20日、21日，全国人大宪法和法律委员会召开会议，根据全国人大常委会的审议意见、代表研读讨论中提出的意见和各方面的意见，对民法典草案作了进一步修改完善；认为经过全国人大常委会多次审议和广泛征求意见，草案充分吸收各方面的意见建议，已经比较成熟，形成了提请本次会议审议的《中华人民共和国民法典(草案)》。</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为进一步做好会议审议民法典草案的准备工作，更充分听取全国人大代表的意见，4月29日，法制工作委员会将修改后的民法典草案再次发送给各省、自治区、直辖市人大常委会，请各地方以适当方式组织有关全国人大代表研读讨论，听取意见。</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黑体" w:hAnsi="黑体" w:eastAsia="黑体" w:cs="黑体"/>
          <w:sz w:val="30"/>
          <w:szCs w:val="30"/>
        </w:rPr>
      </w:pPr>
      <w:r>
        <w:rPr>
          <w:rFonts w:hint="eastAsia" w:ascii="黑体" w:hAnsi="黑体" w:eastAsia="黑体" w:cs="黑体"/>
          <w:sz w:val="30"/>
          <w:szCs w:val="30"/>
          <w:lang w:eastAsia="zh-CN"/>
        </w:rPr>
        <w:t xml:space="preserve">    </w:t>
      </w:r>
      <w:r>
        <w:rPr>
          <w:rFonts w:hint="eastAsia" w:ascii="黑体" w:hAnsi="黑体" w:eastAsia="黑体" w:cs="黑体"/>
          <w:sz w:val="30"/>
          <w:szCs w:val="30"/>
        </w:rPr>
        <w:t>四、民法典草案的主要内容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《中华人民共和国民法典(草案)》共7编、1260条，各编依次为总则、物权、合同、人格权、婚姻家庭、继承、侵权责任，以及附则。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30"/>
          <w:szCs w:val="30"/>
        </w:rPr>
      </w:pPr>
      <w:r>
        <w:rPr>
          <w:rFonts w:hint="eastAsia" w:ascii="楷体" w:hAnsi="楷体" w:eastAsia="楷体" w:cs="楷体"/>
          <w:sz w:val="30"/>
          <w:szCs w:val="30"/>
          <w:lang w:eastAsia="zh-CN"/>
        </w:rPr>
        <w:t xml:space="preserve">    </w:t>
      </w:r>
      <w:r>
        <w:rPr>
          <w:rFonts w:hint="eastAsia" w:ascii="楷体" w:hAnsi="楷体" w:eastAsia="楷体" w:cs="楷体"/>
          <w:sz w:val="30"/>
          <w:szCs w:val="30"/>
        </w:rPr>
        <w:t>(一)总则编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第一编“总则”规定民事活动必须遵循的基本原则和一般性规则，统领民法典各分编。第一编基本保持现行民法总则的结构和内容不变，根据法典编纂体系化要求对个别条款作了文字修改，并将“附则”部分移到民法典草案的最后。第一编共10章、204条，主要内容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1.关于基本规定。第一编第一章规定了民法典的立法目的和依据。其中，将“弘扬社会主义核心价值观”作为一项重要的立法目的，体现坚持依法治国与以德治国相结合的鲜明中国特色(草案第一条)。同时，规定了民事权利及其他合法权益受法律保护，确立了平等、自愿、公平、诚信、守法和公序良俗等民法基本原则(草案第四条至第八条)。为贯彻习近平生态文明思想，将绿色原则确立为民法的基本原则，规定民事主体从事民事活动，应当有利于节约资源、保护生态环境(草案第九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2.关于民事主体。民事主体是民事关系的参与者、民事权利的享有者、民事义务的履行者和民事责任的承担者，具体包括三类：一是自然人。自然人是最基本的民事主体。草案规定了自然人的民事权利能力和民事行为能力制度、监护制度、宣告失踪和宣告死亡制度，并对个体工商户和农村承包经营户作了规定(草案第一编第二章)。结合此次疫情防控工作，对监护制度作了进一步完善，规定因发生突发事件等紧急情况，监护人暂时无法履行监护职责，被监护人的生活处于无人照料状态的，被监护人住所地的居民委员会、村民委员会或者民政部门应当为被监护人安排必要的临时生活照料措施(草案第三十四条第四款)。二是法人。法人是依法成立的，具有民事权利能力和民事行为能力，依法独立享有民事权利和承担民事义务的组织。草案规定了法人的定义、成立原则和条件、住所等一般规定，并对营利法人、非营利法人、特别法人三类法人分别作了具体规定(草案第一编第三章)。三是非法人组织。非法人组织是不具有法人资格，但是能够依法以自己的名义从事民事活动的组织。草案对非法人组织的设立、责任承担、解散、清算等作了规定(草案第一编第四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3.关于民事权利。保护民事权利是民事立法的重要任务。第一编第五章规定了民事权利制度，包括各种人身权利和财产权利。为建设创新型国家，草案对知识产权作了概括性规定，以统领各个单行的知识产权法律(草案第一百二十三条)。同时，对数据、网络虚拟财产的保护作了原则性规定(草案第一百二十七条)。此外，还规定了民事权利的取得和行使规则等内容(草案第一百二十九条至第一百三十二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4.关于民事法律行为和代理。民事法律行为是民事主体通过意思表示设立、变更、终止民事法律关系的行为，代理是民事主体通过代理人实施民事法律行为的制度。第一编第六章、第七章规定了民事法律行为制度、代理制度：一是规定民事法律行为的定义、成立、形式和生效时间等(草案第一编第六章第一节)。二是对意思表示的生效、方式、撤回和解释等作了规定(草案第一编第六章第二节)。三是规定民事法律行为的效力制度(草案第一编第六章第三节)。四是规定了代理的适用范围、效力、类型等代理制度的内容(草案第一编第七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5.关于民事责任、诉讼时效和期间计算。民事责任是民事主体违反民事义务的法律后果，是保障和维护民事权利的重要制度。诉讼时效是权利人在法定期间内不行使权利，权利不受保护的法律制度，其功能主要是促使权利人及时行使权利、维护交易安全、稳定法律秩序。第一编第八章、第九章、第十章规定了民事责任、诉讼时效和期间计算制度：一是规定了民事责任的承担方式，并对不可抗力、正当防卫、紧急避险、自愿实施紧急救助等特殊的民事责任承担问题作了规定(草案第一编第八章)。二是规定了诉讼时效的期间及其起算、法律效果，诉讼时效的中止、中断等内容(草案第一编第九章)。三是规定了期间的计算单位、起算、结束和顺延等(草案第一编第十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30"/>
          <w:szCs w:val="30"/>
        </w:rPr>
      </w:pPr>
      <w:r>
        <w:rPr>
          <w:rFonts w:hint="eastAsia" w:ascii="楷体" w:hAnsi="楷体" w:eastAsia="楷体" w:cs="楷体"/>
          <w:sz w:val="30"/>
          <w:szCs w:val="30"/>
          <w:lang w:eastAsia="zh-CN"/>
        </w:rPr>
        <w:t xml:space="preserve">    </w:t>
      </w:r>
      <w:r>
        <w:rPr>
          <w:rFonts w:hint="eastAsia" w:ascii="楷体" w:hAnsi="楷体" w:eastAsia="楷体" w:cs="楷体"/>
          <w:sz w:val="30"/>
          <w:szCs w:val="30"/>
        </w:rPr>
        <w:t>(二)物权编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物权是民事主体依法享有的重要财产权。物权法律制度调整因物的归属和利用而产生的民事关系，是最重要的民事基本制度之一。2007年第十届全国人民代表大会第五次会议通过了物权法。草案第二编“物权”在现行物权法的基础上，按照党中央提出的完善产权保护制度，健全归属清晰、权责明确、保护严格、流转顺畅的现代产权制度的要求，结合现实需要，进一步完善了物权法律制度。第二编共5个分编、20章、258条，主要内容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1.关于通则。第一分编为通则，规定了物权制度基础性规范，包括平等保护等物权基本原则，物权变动的具体规则，以及物权保护制度。党的十九届四中全会通过的《中共中央关于坚持和完善中国特色社会主义制度推进国家治理体系和治理能力现代化若干重大问题的决定》对社会主义基本经济制度有了新的表述，为贯彻会议精神，草案将有关基本经济制度的规定修改为：“国家坚持和完善公有制为主体、多种所有制经济共同发展，按劳分配为主体、多种分配方式并存，社会主义市场经济体制等社会主义基本经济制度。”(草案第二百零六条第一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2.关于所有权。所有权是物权的基础，是所有人对自己的不动产或者动产依法享有占有、使用、收益和处分的权利。第二分编规定了所有权制度，包括所有权人的权利，征收和征用规则，国家、集体和私人的所有权，相邻关系、共有等所有权基本制度。针对近年来群众普遍反映业主大会成立难、公共维修资金使用难等问题，并结合此次新冠肺炎疫情防控工作，在现行物权法规定的基础上，进一步完善了业主的建筑物区分所有权制度：一是明确地方政府有关部门、居民委员会应当对设立业主大会和选举业主委员会给予指导和协助(草案第二百七十七条第二款)。二是适当降低业主共同决定事项，特别是使用建筑物及其附属设施维修资金的表决门槛，并增加规定紧急情况下使用维修资金的特别程序(草案第二百七十八条、第二百八十一条第二款)。三是结合疫情防控工作，在征用组织、个人的不动产或者动产的事由中增加“疫情防控”；明确物业服务企业和业主的相关责任和义务，增加规定物业服务企业或者其他管理人应当执行政府依法实施的应急处置措施和其他管理措施，积极配合开展相关工作，业主应当依法予以配合(草案第二百四十五条、第二百八十五条第二款、第二百八十六条第一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3.关于用益物权。用益物权是指权利人依法对他人的物享有占有、使用和收益的权利。第三分编规定了用益物权制度，明确了用益物权人的基本权利和义务，以及建设用地使用权、宅基地使用权、地役权等用益物权。草案还在现行物权法规定的基础上，作了进一步完善：一是落实党中央关于完善产权保护制度依法保护产权的要求，明确住宅建设用地使用权期限届满的，自动续期；续期费用的缴纳或者减免，依照法律、行政法规的规定办理(草案第三百五十九条第一款)。二是完善农村集体产权相关制度，落实农村承包地“三权分置”改革的要求，对土地承包经营权的相关规定作了完善，增加土地经营权的规定，并删除耕地使用权不得抵押的规定，以适应“三权分置”后土地经营权入市的需要(草案第二编第十一章、第三百九十九条)。考虑到农村集体建设用地和宅基地制度改革正在推进过程中，草案与土地管理法等作了衔接性规定(草案第三百六十一条、第三百六十三条)。三是为贯彻党的十九大提出的加快建立多主体供给、多渠道保障住房制度的要求，增加规定“居住权”这一新型用益物权，明确居住权原则上无偿设立，居住权人有权按照合同约定或者遗嘱，经登记占有、使用他人的住宅，以满足其稳定的生活居住需要(草案第二编第十四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4.关于担保物权。担保物权是指为了确保债务履行而设立的物权，包括抵押权、质权和留置权。第四分编对担保物权作了规定，明确了担保物权的含义、适用范围、担保范围等共同规则，以及抵押权、质权和留置权的具体规则。草案在现行物权法规定的基础上，进一步完善了担保物权制度，为优化营商环境提供法治保障：一是扩大担保合同的范围，明确融资租赁、保理、所有权保留等非典型担保合同的担保功能，增加规定担保合同包括抵押合同、质押合同和其他具有担保功</w:t>
      </w:r>
      <w:bookmarkStart w:id="0" w:name="_GoBack"/>
      <w:bookmarkEnd w:id="0"/>
      <w:r>
        <w:rPr>
          <w:rFonts w:hint="eastAsia" w:ascii="仿宋_GB2312" w:hAnsi="仿宋_GB2312" w:eastAsia="仿宋_GB2312" w:cs="仿宋_GB2312"/>
          <w:sz w:val="30"/>
          <w:szCs w:val="30"/>
        </w:rPr>
        <w:t>能的合同(草案第三百八十八条第一款)。二是删除有关担保物权具体登记机构的规定，为建立统一的动产抵押和权利质押登记制度留下空间。三是简化抵押合同和质押合同的一般条款(草案第四百条第二款、第四百二十七条第二款)。四是明确实现担保物权的统一受偿规则(草案第四百一十四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5.关于占有。占有是指对不动产或者动产事实上的控制与支配。第五分编对占有的调整范围、无权占有情形下的损害赔偿责任、原物及孳息的返还以及占有保护等作了规定(草案第二编第二十章)。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30"/>
          <w:szCs w:val="30"/>
        </w:rPr>
      </w:pPr>
      <w:r>
        <w:rPr>
          <w:rFonts w:hint="eastAsia" w:ascii="楷体" w:hAnsi="楷体" w:eastAsia="楷体" w:cs="楷体"/>
          <w:sz w:val="30"/>
          <w:szCs w:val="30"/>
          <w:lang w:eastAsia="zh-CN"/>
        </w:rPr>
        <w:t xml:space="preserve">    </w:t>
      </w:r>
      <w:r>
        <w:rPr>
          <w:rFonts w:hint="eastAsia" w:ascii="楷体" w:hAnsi="楷体" w:eastAsia="楷体" w:cs="楷体"/>
          <w:sz w:val="30"/>
          <w:szCs w:val="30"/>
        </w:rPr>
        <w:t>(三)合同编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合同制度是市场经济的基本法律制度。1999年第九届全国人民代表大会第二次会议通过了合同法。草案第三编“合同”在现行合同法的基础上，贯彻全面深化改革的精神，坚持维护契约、平等交换、公平竞争，促进商品和要素自由流动，完善合同制度。第三编共3个分编、29章、526条，主要内容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1.关于通则。第一分编为通则，规定了合同的订立、效力、履行、保全、转让、终止、违约责任等一般性规则，并在现行合同法的基础上，完善了合同总则制度：一是通过规定非合同之债的法律适用规则、多数人之债的履行规则等完善债法的一般性规则(草案第四百六十八条、第五百一十七条至第五百二十一条)。二是完善了电子合同订立规则，增加了预约合同的具体规定，完善了格式条款制度等合同订立制度(草案第四百九十一条、第四百九十五条至第四百九十八条)。三是结合新冠肺炎疫情防控工作，完善国家订货合同制度，规定国家根据抢险救灾、疫情防控或者其他需要下达国家订货任务、指令性计划的，有关民事主体之间应当依照有关法律、行政法规规定的权利和义务订立合同(草案第四百九十四条第一款)。四是针对实践中一方当事人违反义务不办理报批手续影响合同生效的问题，草案明确了当事人违反报批义务的法律后果，健全合同效力制度(草案第五百零二条第二款)。五是完善合同履行制度，落实绿色原则，规定当事人在履行合同过程中应当避免浪费资源、污染环境和破坏生态(草案第五百零九条第三款)。同时，在总结司法实践经验的基础上增加规定了情势变更制度(草案第五百三十三条)。六是完善代位权、撤销权等合同保全制度，进一步强化对债权人的保护，细化了债权转让、债务移转制度，增加了债务清偿抵充规则、完善了合同解除等合同终止制度(草案第三编第五章、第五百四十五条至第五百五十六条、第五百六十条、第五百六十三条至第五百六十六条)。七是通过吸收现行担保法有关定金规则的规定，完善违约责任制度(草案第五百八十六条至第五百八十八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2.关于典型合同。典型合同在市场经济活动和社会生活中应用普遍。为适应现实需要，在现行合同法规定的买卖合同、赠与合同、借款合同、租赁合同等15种典型合同的基础上，第二分编增加了4种新的典型合同：一是吸收了担保法中关于保证的内容，增加了保证合同(草案第三编第十三章)。二是适应我国保理行业发展和优化营商环境的需要，增加了保理合同(草案第三编第十六章)。三是针对物业服务领域的突出问题，增加规定了物业服务合同(草案第三编第二十四章)。四是增加规定合伙合同，将民法通则中有关个人合伙的规定纳入其中(草案第三编第二十七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第三编还在总结现行合同法实践经验的基础上，完善了其他典型合同：一是通过完善检验期限的规定和所有权保留规则等完善买卖合同(草案第六百二十二条、第六百二十三条、第六百四十一条至第六百四十三条)。二是为维护正常的金融秩序，明确规定禁止高利放贷，借款的利率不得违反国家有关规定(草案第六百八十条第一款)。三是落实党中央提出的建立租购同权住房制度的要求，保护承租人利益，增加规定房屋承租人的优先承租权(草案第七百三十四条第二款)。四是针对近年来客运合同领域出现的旅客霸座、不配合承运人采取安全运输措施等严重干扰运输秩序和危害运输安全的问题，维护正常的运输秩序，草案细化了客运合同当事人的权利义务(草案第八百一十五条第一款、第八百一十九条、第八百二十条)。五是根据经济社会发展需要，修改完善了赠与合同、融资租赁合同、建设工程合同、技术合同等典型合同(草案第三编第十一章、第十五章、第十八章、第二十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3.关于准合同。无因管理和不当得利既与合同规则同属债法性质的内容，又与合同规则有所区别，第三分编“准合同”分别对无因管理和不当得利的一般性规则作了规定。(草案第三编第二十八章、第二十九章)</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30"/>
          <w:szCs w:val="30"/>
        </w:rPr>
      </w:pPr>
      <w:r>
        <w:rPr>
          <w:rFonts w:hint="eastAsia" w:ascii="楷体" w:hAnsi="楷体" w:eastAsia="楷体" w:cs="楷体"/>
          <w:sz w:val="30"/>
          <w:szCs w:val="30"/>
          <w:lang w:eastAsia="zh-CN"/>
        </w:rPr>
        <w:t xml:space="preserve">    </w:t>
      </w:r>
      <w:r>
        <w:rPr>
          <w:rFonts w:hint="eastAsia" w:ascii="楷体" w:hAnsi="楷体" w:eastAsia="楷体" w:cs="楷体"/>
          <w:sz w:val="30"/>
          <w:szCs w:val="30"/>
        </w:rPr>
        <w:t>(四)人格权编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人格权是民事主体对其特定的人格利益享有的权利，关系到每个人的人格尊严，是民事主体最基本的权利。草案第四编“人格权”在现行有关法律法规和司法解释的基础上，从民事法律规范的角度规定自然人和其他民事主体人格权的内容、边界和保护方式，不涉及公民政治、社会等方面权利。第四编共6章、51条，主要内容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1.关于一般规定。第四编第一章规定了人格权的一般性规则：一是明确人格权的定义(草案第九百九十条)。二是规定民事主体的人格权受法律保护，人格权不得放弃、转让或者继承(草案第九百九十一条、第九百九十二条)。三是规定了对死者人格利益的保护(草案第九百九十四条)。四是明确规定人格权受到侵害后的救济方式(草案第九百九十五条至第一千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2.关于生命权、身体权和健康权。第四编第二章规定了生命权、身体权和健康权的具体内容，并对实践中社会比较关注的有关问题作了有针对性的规定：一是为促进医疗卫生事业的发展，鼓励遗体捐献的善行义举，草案吸收行政法规的相关规定，确立器官捐献的基本规则(草案第一千零六条)。二是为规范与人体基因、人体胚胎等有关的医学和科研活动，明确从事此类活动应遵守的规则(草案第一千零九条)。三是近年来，性骚扰问题引起社会较大关注，草案在总结既有立法和司法实践经验的基础上，规定了性骚扰的认定标准，以及机关、企业、学校等单位防止和制止性骚扰的义务(草案第一千零一十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3.关于姓名权和名称权。第四编第三章规定了姓名权、名称权的具体内容，并对民事主体尊重保护他人姓名权、名称权的基本义务作了规定：一是对自然人选取姓氏的规则作了规定(草案第一千零一十五条)。二是明确对具有一定社会知名度，被他人使用足以造成公众混淆的笔名、艺名、网名等，参照适用姓名权和名称权保护的有关规定(草案第一千零一十七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4.关于肖像权。第四编第四章规定了肖像权的权利内容及许可使用肖像的规则，明确禁止侵害他人的肖像权：一是针对利用信息技术手段“深度伪造”他人的肖像、声音，侵害他人人格权益，甚至危害社会公共利益等问题，规定禁止任何组织或者个人利用信息技术手段伪造等方式侵害他人的肖像权。并明确对自然人声音的保护，参照适用肖像权保护的有关规定(草案第一千零一十九条第一款、第一千零二十三条第二款)。二是为了合理平衡保护肖像权与维护公共利益之间的关系，草案结合司法实践，规定肖像权的合理使用规则(草案第一千零二十条)。三是从有利于保护肖像权人利益的角度，对肖像许可使用合同的解释、解除等作了规定(草案第一千零二十一条、第一千零二十二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5.关于名誉权和荣誉权。第四编第五章规定了名誉权和荣誉权的内容：一是为了平衡个人名誉权保护与新闻报道、舆论监督之间的关系，草案对行为人实施新闻报道、舆论监督等行为涉及的民事责任承担，以及行为人是否尽到合理核实义务的认定等作了规定(草案第一千零二十五条、第一千零二十六条)。二是规定民事主体有证据证明报刊、网络等媒体报道的内容失实，侵害其名誉权的，有权请求更正或者删除(草案第一千零二十八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6.关于隐私权和个人信息保护。第四编第六章在现行有关法律规定的基础上，进一步强化对隐私权和个人信息的保护，并为下一步制定个人信息保护法留下空间：一是规定了隐私的定义，列明禁止侵害他人隐私权的具体行为(草案第一千零三十二条、第一千零三十三条)。二是界定了个人信息的定义，明确了处理个人信息应遵循的原则和条件(草案第一千零三十四条、第一千零三十五条)。三是构建自然人与信息处理者之间的基本权利义务框架，明确处理个人信息不承担责任的特定情形，合理平衡保护个人信息与维护公共利益之间的关系(草案第一千零三十六条至第一千零三十八条)。四是规定国家机关及其工作人员负有保护自然人的隐私和个人信息的义务(草案第一千零三十九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30"/>
          <w:szCs w:val="30"/>
        </w:rPr>
      </w:pPr>
      <w:r>
        <w:rPr>
          <w:rFonts w:hint="eastAsia" w:ascii="楷体" w:hAnsi="楷体" w:eastAsia="楷体" w:cs="楷体"/>
          <w:sz w:val="30"/>
          <w:szCs w:val="30"/>
          <w:lang w:eastAsia="zh-CN"/>
        </w:rPr>
        <w:t xml:space="preserve">    </w:t>
      </w:r>
      <w:r>
        <w:rPr>
          <w:rFonts w:hint="eastAsia" w:ascii="楷体" w:hAnsi="楷体" w:eastAsia="楷体" w:cs="楷体"/>
          <w:sz w:val="30"/>
          <w:szCs w:val="30"/>
        </w:rPr>
        <w:t>(五)婚姻家庭编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婚姻家庭制度是规范夫妻关系和家庭关系的基本准则。1980年第五届全国人民代表大会第三次会议通过了新的婚姻法，2001年进行了修改。1991年第七届全国人大常委会第二十三次会议通过了收养法，1998年作了修改。草案第五编“婚姻家庭”以现行婚姻法、收养法为基础，在坚持婚姻自由、一夫一妻等基本原则的前提下，结合社会发展需要，修改完善了部分规定，并增加了新的规定。第五编共5章、79条，主要内容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1.关于一般规定。第五编第一章在现行婚姻法规定的基础上，重申了婚姻自由、一夫一妻、男女平等等婚姻家庭领域的基本原则和规则，并在现行婚姻法的基础上，作了进一步完善：一是为贯彻落实习近平总书记有关加强家庭文明建设的重要讲话精神，更好地弘扬家庭美德，规定家庭应当树立优良家风，弘扬家庭美德，重视家庭文明建设(草案第一千零四十三条第一款)。二是为了更好地维护被收养的未成年人的合法权益，将联合国《儿童权利公约》关于儿童利益最大化的原则落实到收养工作中，增加规定了最有利于被收养人的原则(草案第一千零四十四条第一款)。三是界定了亲属、近亲属、家庭成员的范围(草案第一千零四十五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2.关于结婚。第五编第二章规定了结婚制度，并在现行婚姻法的基础上，对有关规定作了完善：一是将受胁迫一方请求撤销婚姻的期间起算点由“自结婚登记之日起”修改为“自胁迫行为终止之日起”(草案第一千零五十二条第二款)。二是不再将“患有医学上认为不应当结婚的疾病”作为禁止结婚的情形，并相应增加规定一方隐瞒重大疾病的，另一方可以向人民法院请求撤销婚姻(草案第一千零五十三条)。三是增加规定婚姻无效或者被撤销的，无过错方有权请求损害赔偿(草案第一千零五十四条第二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3.关于家庭关系。第五编第三章规定了夫妻关系、父母子女关系和其他近亲属关系，并根据社会发展需要，在现行婚姻法的基础上，完善了有关内容：一是明确了夫妻共同债务的范围。现行婚姻法没有对夫妻共同债务的范围作出规定。2003年最高人民法院出台司法解释，对夫妻共同债务的认定作出规定，近年来成为社会关注的热点问题。2018年1月，最高人民法院出台新的司法解释，修改了此前关于夫妻共同债务认定的规定。从新司法解释施行效果看，总体上能够有效平衡各方利益，各方面总体上赞同。因此，草案吸收新司法解释的规定，明确了夫妻共同债务的范围(草案第一千零六十四条)。二是规范亲子关系确认和否认之诉。亲子关系问题涉及家庭稳定和未成年人的保护，作为民事基本法律，草案对此类诉讼进行了规范(草案第一千零七十三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4.关于离婚。第五编第四章对离婚制度作出了规定，并在现行婚姻法的基础上，作了进一步完善：一是增加离婚冷静期制度。实践中，轻率离婚的现象增多，不利于婚姻家庭的稳定。为此，草案规定了提交离婚登记申请后三十日的离婚冷静期，在此期间，任何一方可以向登记机关撤回离婚申请(草案第一千零七十七条)。二是针对离婚诉讼中出现的“久调不判”问题，增加规定，经人民法院判决不准离婚后，双方又分居满一年，一方再次提起离婚诉讼的，应当准予离婚(草案第一千零七十九条第五款)。三是关于离婚后子女的抚养，将现行婚姻法规定的“哺乳期内的子女，以随哺乳的母亲抚养为原则”修改为“不满两周岁的子女，以由母亲直接抚养为原则”，以增强可操作性(草案第一千零八十四条第三款)。四是将夫妻采用法定共同财产制的，纳入适用离婚经济补偿的范围，以加强对家庭负担较多义务一方权益的保护(草案第一千零八十八条)。五是将“有其他重大过错”增加规定为离婚损害赔偿的适用情形(草案第一千零九十一条第五项)。</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5.关于收养。第五编第五章对收养关系的成立、收养的效力、收养关系的解除作了规定，并在现行收养法的基础上，进一步完善了有关制度：一是扩大被收养人的范围，删除被收养的未成年人仅限于不满十四周岁的限制，修改为符合条件的未成年人均可被收养(草案第一千零九十三条)。二是与国家计划生育政策的调整相协调，将收养人须无子女的要求修改为收养人无子女或者只有一名子女(草案第一千零九十八条第一项)。三是为进一步强化对被收养人利益的保护，在收养人的条件中增加规定“无不利于被收养人健康成长的违法犯罪记录”，并增加规定民政部门应当依法进行收养评估(草案第一千零九十八条第四项、第一千一百零五条第五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30"/>
          <w:szCs w:val="30"/>
        </w:rPr>
      </w:pPr>
      <w:r>
        <w:rPr>
          <w:rFonts w:hint="eastAsia" w:ascii="楷体" w:hAnsi="楷体" w:eastAsia="楷体" w:cs="楷体"/>
          <w:sz w:val="30"/>
          <w:szCs w:val="30"/>
          <w:lang w:eastAsia="zh-CN"/>
        </w:rPr>
        <w:t xml:space="preserve">    </w:t>
      </w:r>
      <w:r>
        <w:rPr>
          <w:rFonts w:hint="eastAsia" w:ascii="楷体" w:hAnsi="楷体" w:eastAsia="楷体" w:cs="楷体"/>
          <w:sz w:val="30"/>
          <w:szCs w:val="30"/>
        </w:rPr>
        <w:t>(六)继承编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继承制度是关于自然人死亡后财富传承的基本制度。1985年第六届全国人民代表大会第三次会议通过了继承法。随着人民群众生活水平的不断提高，个人和家庭拥有的财产日益增多，因继承引发的纠纷也越来越多。根据我国社会家庭结构、继承观念等方面的发展变化，草案第六编“继承”在现行继承法的基础上，修改完善了继承制度，以满足人民群众处理遗产的现实需要。第六编共4章、45条，主要内容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1.关于一般规定。第六编第一章规定了继承制度的基本规则，重申了国家保护自然人的继承权，规定了继承的基本制度。并在现行继承法的基础上，作了进一步完善：一是增加规定相互有继承关系的数人在同一事件中死亡，且难以确定死亡时间的继承规则(草案第一千一百二十一条第二款)。二是增加规定对继承人的宽恕制度，对继承权法定丧失制度予以完善(草案第一千一百二十五条第二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2.关于法定继承。法定继承是在被继承人没有对其遗产的处理立有遗嘱的情况下，继承人的范围、继承顺序等均按照法律规定确定的继承方式。第六编第二章规定了法定继承制度，明确了继承权男女平等原则，规定了法定继承人的顺序和范围，以及遗产分配的基本制度。同时，在现行继承法的基础上，完善代位继承制度，增加规定被继承人的兄弟姐妹先于被继承人死亡的，由被继承人的兄弟姐妹的子女代位继承(草案第一千一百二十八条第二款)。</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3.关于遗嘱继承和遗赠。遗嘱继承是根据被继承人生前所立遗嘱处理遗产的继承方式。第六编第三章规定了遗嘱继承和遗赠制度，并在现行继承法的基础上，进一步修改完善了遗嘱继承制度：一是增加了打印、录像等新的遗嘱形式(草案第一千一百三十六条、第一千一百三十七条)。二是修改了遗嘱效力规则，删除了现行继承法关于公证遗嘱效力优先的规定，切实尊重遗嘱人的真实意愿。</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4.关于遗产的处理。第六编第四章规定了遗产处理的程序和规则，并在现行继承法的基础上，进一步完善了有关遗产处理的制度：一是增加遗产管理人制度。为确保遗产得到妥善管理、顺利分割，更好地维护继承人、债权人利益，草案增加规定了遗产管理人制度，明确了遗产管理人的产生方式、职责和权利等内容(草案第一千一百四十五条至第一千一百四十九条)。二是完善遗赠扶养协议制度，适当扩大扶养人的范围，明确继承人以外的组织或者个人均可以成为扶养人，以满足养老形式多样化需求(草案第一千一百五十八条)。三是完善无人继承遗产的归属制度，明确归国家所有的无人继承遗产应当用于公益事业(草案第一千一百六十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30"/>
          <w:szCs w:val="30"/>
        </w:rPr>
      </w:pPr>
      <w:r>
        <w:rPr>
          <w:rFonts w:hint="eastAsia" w:ascii="楷体" w:hAnsi="楷体" w:eastAsia="楷体" w:cs="楷体"/>
          <w:sz w:val="30"/>
          <w:szCs w:val="30"/>
          <w:lang w:eastAsia="zh-CN"/>
        </w:rPr>
        <w:t xml:space="preserve">    </w:t>
      </w:r>
      <w:r>
        <w:rPr>
          <w:rFonts w:hint="eastAsia" w:ascii="楷体" w:hAnsi="楷体" w:eastAsia="楷体" w:cs="楷体"/>
          <w:sz w:val="30"/>
          <w:szCs w:val="30"/>
        </w:rPr>
        <w:t>(七)侵权责任编</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侵权责任是民事主体侵害他人权益应当承担的法律后果。2009年第十一届全国人大常委会第十二次会议通过了侵权责任法。侵权责任法实施以来，在保护民事主体的合法权益、预防和制裁侵权行为方面发挥了重要作用。草案第七编“侵权责任”在总结实践经验的基础上，针对侵权领域出现的新情况，吸收借鉴司法解释的有关规定，对侵权责任制度作了必要的补充和完善。第七编共10章、95条，主要内容有：</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1.关于一般规定。第七编第一章规定了侵权责任的归责原则、多数人侵权的责任承担、侵权责任的减轻或者免除等一般规则。并在现行侵权责任法的基础上作了进一步的完善：一是确立“自甘风险”规则，规定自愿参加具有一定风险的文体活动，因其他参加者的行为受到损害的，受害人不得请求没有故意或者重大过失的其他参加者承担侵权责任(草案第一千一百七十六条第一款)。二是规定“自助行为”制度，明确合法权益受到侵害，情况紧迫且不能及时获得国家机关保护，不立即采取措施将使其合法权益受到难以弥补的损害的，受害人可以在保护自己合法权益的必要范围内采取扣留侵权人的财物等合理措施，但是应当立即请求有关国家机关处理。受害人采取的措施不当造成他人损害的，应当承担侵权责任(草案第一千一百七十七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2.关于损害赔偿。第七编第二章规定了侵害人身权益和财产权益的赔偿规则、精神损害赔偿规则等。同时，在现行侵权责任法的基础上，对有关规定作了进一步完善：一是完善精神损害赔偿制度，规定因故意或者重大过失侵害自然人具有人身意义的特定物造成严重精神损害的，被侵权人有权请求精神损害赔偿(草案第一千一百八十三条第二款)。二是为加强对知识产权的保护，提高侵权违法成本，草案增加规定，故意侵害他人知识产权，情节严重的，被侵权人有权请求相应的惩罚性赔偿(草案第一千一百八十五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3.关于责任主体的特殊规定。第七编第三章规定了无民事行为能力人、限制民事行为能力人及其监护人的侵权责任，用人单位的侵权责任，网络侵权责任，以及公共场所的安全保障义务等。同时，草案在现行侵权责任法的基础上作了进一步完善：一是增加规定委托监护的侵权责任(草案第一千一百八十九条)。二是完善网络侵权责任制度。为了更好地保护权利人的利益，平衡好网络用户和网络服务提供者之间的利益，草案细化了网络侵权责任的具体规定，完善了权利人通知规则和网络服务提供者的转通知规则(草案第一千一百九十五条、第一千一百九十六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4.关于各种具体侵权责任。第七编的其他各章分别对产品生产销售、机动车交通事故、医疗、环境污染和生态破坏、高度危险、饲养动物、建筑物和物件等领域的侵权责任规则作出了具体规定。并在现行侵权责任法的基础上，对有关内容作了进一步完善：一是完善生产者、销售者召回缺陷产品的责任，增加规定，依照相关规定采取召回措施的，生产者、销售者应当负担被侵权人因此支出的必要费用(草案第一千二百零六条第二款)。二是明确交通事故损害赔偿的顺序，即先由机动车强制保险理赔，不足部分由机动车商业保险理赔，仍不足的由侵权人赔偿(草案第一千二百一十三条)。三是进一步保障患者的知情同意权，明确医务人员的相关说明义务，加强医疗机构及其医务人员对患者隐私和个人信息的保护(草案第一千二百一十九条、第一千二百二十六条)。四是贯彻落实习近平生态文明思想，增加规定生态环境损害的惩罚性赔偿制度，并明确规定了生态环境损害的修复和赔偿规则(草案第一千二百三十二条、第一千二百三十四条、第一千二百三十五条)。五是加强生物安全管理，完善高度危险责任，明确占有或者使用高致病性危险物造成他人损害的，应当承担侵权责任(草案第一千二百三十九条)。六是完善高空抛物坠物治理规则。为保障好人民群众的生命财产安全，草案对高空抛物坠物治理规则作了进一步的完善，规定禁止从建筑物中抛掷物品，同时针对此类事件处理的主要困难是行为人难以确定的问题，强调有关机关应当依法及时调查，查清责任人，并规定物业服务企业等建筑物管理人应当采取必要的安全保障措施防止此类行为的发生(草案第一千二百五十四条)。</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楷体" w:hAnsi="楷体" w:eastAsia="楷体" w:cs="楷体"/>
          <w:sz w:val="30"/>
          <w:szCs w:val="30"/>
        </w:rPr>
      </w:pPr>
      <w:r>
        <w:rPr>
          <w:rFonts w:hint="eastAsia" w:ascii="楷体" w:hAnsi="楷体" w:eastAsia="楷体" w:cs="楷体"/>
          <w:sz w:val="30"/>
          <w:szCs w:val="30"/>
          <w:lang w:eastAsia="zh-CN"/>
        </w:rPr>
        <w:t xml:space="preserve">    </w:t>
      </w:r>
      <w:r>
        <w:rPr>
          <w:rFonts w:hint="eastAsia" w:ascii="楷体" w:hAnsi="楷体" w:eastAsia="楷体" w:cs="楷体"/>
          <w:sz w:val="30"/>
          <w:szCs w:val="30"/>
        </w:rPr>
        <w:t>(八)附则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草案最后部分“附则”明确了民法典与婚姻法、继承法、民法通则、收养法、担保法、合同法、物权法、侵权责任法、民法总则的关系。民法典施行后，上述民事单行法律将被替代。因此，草案规定在民法典施行之时，同步废止上述民事单行法律(草案第一千二百六十条)。需要说明的是，2014年第十二届全国人大常委会第十一次会议通过的《全国人民代表大会常务委员会关于〈中华人民共和国民法通则〉第九十九条第一款、〈中华人民共和国婚姻法〉第二十二条的解释》，作为与民法通则、婚姻法相关的法律解释，也同步废止。</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rPr>
        <w:t>《中华人民共和国民法典(草案)》和以上说明，请审议。</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ascii="仿宋_GB2312" w:hAnsi="仿宋_GB2312" w:eastAsia="仿宋_GB2312" w:cs="仿宋_GB2312"/>
                        <w:sz w:val="32"/>
                        <w:szCs w:val="32"/>
                        <w:lang w:eastAsia="zh-CN"/>
                      </w:rPr>
                      <w:fldChar w:fldCharType="begin"/>
                    </w:r>
                    <w:r>
                      <w:rPr>
                        <w:rFonts w:hint="eastAsia" w:ascii="仿宋_GB2312" w:hAnsi="仿宋_GB2312" w:eastAsia="仿宋_GB2312" w:cs="仿宋_GB2312"/>
                        <w:sz w:val="32"/>
                        <w:szCs w:val="32"/>
                        <w:lang w:eastAsia="zh-CN"/>
                      </w:rPr>
                      <w:instrText xml:space="preserve"> PAGE  \* MERGEFORMAT </w:instrText>
                    </w:r>
                    <w:r>
                      <w:rPr>
                        <w:rFonts w:hint="eastAsia" w:ascii="仿宋_GB2312" w:hAnsi="仿宋_GB2312" w:eastAsia="仿宋_GB2312" w:cs="仿宋_GB2312"/>
                        <w:sz w:val="32"/>
                        <w:szCs w:val="32"/>
                        <w:lang w:eastAsia="zh-CN"/>
                      </w:rPr>
                      <w:fldChar w:fldCharType="separate"/>
                    </w:r>
                    <w:r>
                      <w:rPr>
                        <w:rFonts w:hint="eastAsia" w:ascii="仿宋_GB2312" w:hAnsi="仿宋_GB2312" w:eastAsia="仿宋_GB2312" w:cs="仿宋_GB2312"/>
                        <w:sz w:val="32"/>
                        <w:szCs w:val="32"/>
                        <w:lang w:eastAsia="zh-CN"/>
                      </w:rPr>
                      <w:t>1</w:t>
                    </w:r>
                    <w:r>
                      <w:rPr>
                        <w:rFonts w:hint="eastAsia" w:ascii="仿宋_GB2312" w:hAnsi="仿宋_GB2312" w:eastAsia="仿宋_GB2312" w:cs="仿宋_GB2312"/>
                        <w:sz w:val="32"/>
                        <w:szCs w:val="32"/>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647CB6"/>
    <w:rsid w:val="06005D7A"/>
    <w:rsid w:val="09647CB6"/>
    <w:rsid w:val="22264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41</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2020-06-08T01:43:00Z</dcterms:created>
  <dc:creator>剑胆琴心</dc:creator>
  <cp:lastModifiedBy>剑胆琴心</cp:lastModifiedBy>
  <cp:lastPrinted>2020-06-08T01:50:00Z</cp:lastPrinted>
  <dcterms:modified xsi:type="dcterms:W3CDTF">2020-06-08T02:39:13Z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