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p>
    <w:p>
      <w:pPr>
        <w:widowControl w:val="0"/>
        <w:wordWrap/>
        <w:adjustRightInd/>
        <w:snapToGrid/>
        <w:spacing w:before="0" w:after="0" w:line="550" w:lineRule="exact"/>
        <w:ind w:left="0" w:leftChars="0" w:right="0" w:firstLine="0" w:firstLineChars="0"/>
        <w:jc w:val="center"/>
        <w:textAlignment w:val="auto"/>
        <w:outlineLvl w:val="9"/>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林芝市住房和城乡建设局2020年政府信息公开工作年度报告</w:t>
      </w:r>
    </w:p>
    <w:p>
      <w:pPr>
        <w:widowControl w:val="0"/>
        <w:numPr>
          <w:ilvl w:val="0"/>
          <w:numId w:val="0"/>
        </w:numPr>
        <w:wordWrap/>
        <w:adjustRightInd/>
        <w:snapToGrid/>
        <w:spacing w:before="0" w:after="0" w:line="550"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根据《中华人民共和国政府信息公开条例》(国务院令第711号，以下简称《条例》)要求，现公布林芝市住房和城乡建设局2020年政府信息公开工作年度报告。</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44"/>
          <w:szCs w:val="44"/>
          <w:lang w:val="en-US" w:eastAsia="zh-CN"/>
        </w:rPr>
      </w:pPr>
      <w:r>
        <w:rPr>
          <w:rFonts w:hint="eastAsia" w:ascii="仿宋_GB2312" w:hAnsi="仿宋_GB2312" w:eastAsia="仿宋_GB2312" w:cs="仿宋_GB2312"/>
          <w:sz w:val="32"/>
          <w:szCs w:val="32"/>
          <w:lang w:val="en-US" w:eastAsia="zh-CN"/>
        </w:rPr>
        <w:t>本报告包括总体情况、主动公开政府信息情况、收到和处理政府信息公开申请情况、政府信息公开行政复议和行政诉讼情况、存在的主要问题及改进情况、其他需要报告的事项等六个部分。除特别说明的外，所列数据统计时限为2020年1月1日至2020年12月31日。报告电子版可在林芝市住建局门户网站（www.zjj.linzhi.gov.cn）下载。公众如需进一步咨询了解相关信息，请与林芝市住房和城乡建设局办公室联系(地址：林芝市巴宜区广州大道南段与福州大道西段交汇处;邮编：860000;电话：0894-5889809)。</w:t>
      </w:r>
    </w:p>
    <w:p>
      <w:pPr>
        <w:keepNext w:val="0"/>
        <w:keepLines w:val="0"/>
        <w:pageBreakBefore w:val="0"/>
        <w:widowControl w:val="0"/>
        <w:numPr>
          <w:ilvl w:val="0"/>
          <w:numId w:val="1"/>
        </w:numPr>
        <w:kinsoku/>
        <w:wordWrap/>
        <w:overflowPunct/>
        <w:topLinePunct w:val="0"/>
        <w:autoSpaceDE/>
        <w:autoSpaceDN/>
        <w:bidi w:val="0"/>
        <w:adjustRightInd/>
        <w:snapToGrid/>
        <w:spacing w:before="0" w:after="0" w:line="576" w:lineRule="exact"/>
        <w:ind w:left="64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切实加强组织领导，完善工作机制。为促进市住建局政府信息公开工作的顺利推进，确保信息公开工作落到实处，我局及时调整充实了由局主要领导及各科室负责人组成的政府信息公开领导小组，负责政府信息公开事宜，领导小组下设办公室，办公室设在局办，并指定专人负责全局政府信息公开工作，各科室指定专人兼职负责本科室政府信息公开工作。进一步完善了政府信息公开制度、依申请公开制度等，保证政府信息发布及时、准确、规范、完整。</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认真组织理论学习，提高思想认识。2020年我局召开政府信息公开工作会议2次，进一步学习政府信息公开相关文件精神、背景及其目的，掌握政府信息公开与政务公开的区别，进一步提升思想认识，切实从思想上、行动上做好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76" w:lineRule="exact"/>
        <w:ind w:left="0" w:leftChars="0" w:right="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平台建设及基层政务公开标准目录制定情况。2020年我局主动公开政务信息数861条，重点公开住建领域疫情防控、复工复产、安全生产、住房保障、冬季施工、惠民实事等事项，使得广泛人民群众了解相关政府信息；制定了林芝市住建局基层政务公开标准目录，涉及公共资源交易领域、保障性住房领域、农村危房改造领域、城市综合执法领域4个住建方面领域，完善符合我局工作实际的公开事项473项，并在我局门户网站进行了公示，为我局在相关领域的基层政务公开指明了方向，提供了思路，我局将按照该目录持续做好政务公开工作。</w:t>
      </w:r>
      <w:bookmarkStart w:id="0" w:name="_GoBack"/>
      <w:bookmarkEnd w:id="0"/>
    </w:p>
    <w:p>
      <w:pPr>
        <w:widowControl w:val="0"/>
        <w:numPr>
          <w:ilvl w:val="0"/>
          <w:numId w:val="0"/>
        </w:numPr>
        <w:wordWrap/>
        <w:adjustRightInd/>
        <w:snapToGrid/>
        <w:spacing w:before="0" w:after="0" w:line="576" w:lineRule="exact"/>
        <w:ind w:left="0" w:leftChars="0" w:right="0"/>
        <w:jc w:val="both"/>
        <w:textAlignment w:val="auto"/>
        <w:outlineLvl w:val="9"/>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二、主动公开情况</w:t>
      </w:r>
    </w:p>
    <w:tbl>
      <w:tblPr>
        <w:tblStyle w:val="4"/>
        <w:tblW w:w="88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383"/>
        <w:gridCol w:w="2070"/>
        <w:gridCol w:w="6"/>
        <w:gridCol w:w="1267"/>
        <w:gridCol w:w="2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制作数量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hint="eastAsia" w:ascii="宋体" w:hAnsi="宋体" w:eastAsia="宋体" w:cs="宋体"/>
                <w:color w:val="auto"/>
                <w:kern w:val="0"/>
                <w:sz w:val="20"/>
                <w:szCs w:val="20"/>
              </w:rPr>
              <w:t>公开数量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规章</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规范性文件</w:t>
            </w:r>
          </w:p>
        </w:tc>
        <w:tc>
          <w:tcPr>
            <w:tcW w:w="2070"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73" w:type="dxa"/>
            <w:gridSpan w:val="2"/>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autoSpaceDN w:val="0"/>
              <w:jc w:val="center"/>
              <w:textAlignment w:val="center"/>
              <w:rPr>
                <w:rFonts w:hint="eastAsia"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行政许可</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6</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185</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其他对外管理服务事项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1273"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行政处罚</w:t>
            </w:r>
          </w:p>
        </w:tc>
        <w:tc>
          <w:tcPr>
            <w:tcW w:w="2076" w:type="dxa"/>
            <w:gridSpan w:val="2"/>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行政强制</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1267"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c>
          <w:tcPr>
            <w:tcW w:w="2134" w:type="dxa"/>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上一年项目数量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行政事业性收费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1</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仿宋_GB2312" w:hAnsi="仿宋_GB2312" w:eastAsia="仿宋_GB2312" w:cs="仿宋_GB2312"/>
                <w:b w:val="0"/>
                <w:bCs w:val="0"/>
                <w:color w:val="auto"/>
                <w:kern w:val="0"/>
                <w:sz w:val="20"/>
                <w:szCs w:val="20"/>
                <w:lang w:val="en-US" w:eastAsia="zh-CN"/>
              </w:rPr>
            </w:pPr>
            <w:r>
              <w:rPr>
                <w:rFonts w:hint="eastAsia" w:ascii="仿宋_GB2312" w:hAnsi="仿宋_GB2312" w:eastAsia="仿宋_GB2312" w:cs="仿宋_GB2312"/>
                <w:b w:val="0"/>
                <w:bCs w:val="0"/>
                <w:color w:val="auto"/>
                <w:kern w:val="0"/>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8860" w:type="dxa"/>
            <w:gridSpan w:val="5"/>
            <w:tcBorders>
              <w:top w:val="single" w:color="auto" w:sz="4" w:space="0"/>
              <w:left w:val="single" w:color="auto" w:sz="4" w:space="0"/>
              <w:bottom w:val="single" w:color="auto" w:sz="4" w:space="0"/>
              <w:right w:val="single" w:color="auto" w:sz="4" w:space="0"/>
            </w:tcBorders>
            <w:shd w:val="clear" w:color="auto" w:fill="C6D9F1"/>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信息内容</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采购项目数量</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jc w:val="center"/>
        </w:trPr>
        <w:tc>
          <w:tcPr>
            <w:tcW w:w="3383" w:type="dxa"/>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rPr>
            </w:pPr>
            <w:r>
              <w:rPr>
                <w:rFonts w:hint="eastAsia" w:ascii="宋体" w:hAnsi="宋体" w:eastAsia="宋体" w:cs="宋体"/>
                <w:color w:val="auto"/>
                <w:kern w:val="0"/>
                <w:sz w:val="20"/>
                <w:szCs w:val="20"/>
              </w:rPr>
              <w:t>政府集中采购</w:t>
            </w:r>
          </w:p>
        </w:tc>
        <w:tc>
          <w:tcPr>
            <w:tcW w:w="2076" w:type="dxa"/>
            <w:gridSpan w:val="2"/>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c>
          <w:tcPr>
            <w:tcW w:w="3401" w:type="dxa"/>
            <w:gridSpan w:val="2"/>
            <w:tcBorders>
              <w:top w:val="single" w:color="auto" w:sz="4" w:space="0"/>
              <w:left w:val="nil"/>
              <w:bottom w:val="single" w:color="auto" w:sz="4" w:space="0"/>
              <w:right w:val="single" w:color="000000"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auto"/>
                <w:kern w:val="0"/>
                <w:sz w:val="20"/>
                <w:szCs w:val="20"/>
                <w:lang w:val="en-US" w:eastAsia="zh-CN"/>
              </w:rPr>
            </w:pPr>
            <w:r>
              <w:rPr>
                <w:rFonts w:hint="eastAsia" w:ascii="宋体" w:hAnsi="宋体" w:cs="宋体"/>
                <w:color w:val="auto"/>
                <w:kern w:val="0"/>
                <w:sz w:val="20"/>
                <w:szCs w:val="20"/>
                <w:lang w:val="en-US" w:eastAsia="zh-CN"/>
              </w:rPr>
              <w:t>0</w:t>
            </w:r>
          </w:p>
        </w:tc>
      </w:tr>
    </w:tbl>
    <w:p>
      <w:pPr>
        <w:widowControl w:val="0"/>
        <w:numPr>
          <w:ilvl w:val="0"/>
          <w:numId w:val="0"/>
        </w:numPr>
        <w:wordWrap/>
        <w:adjustRightInd/>
        <w:snapToGrid/>
        <w:spacing w:before="0" w:after="0" w:line="576" w:lineRule="exact"/>
        <w:ind w:left="0" w:leftChars="0" w:right="0" w:firstLine="0" w:firstLine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三、收到和处理政府信息公开申请情况</w:t>
      </w:r>
    </w:p>
    <w:tbl>
      <w:tblPr>
        <w:tblStyle w:val="4"/>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58"/>
        <w:gridCol w:w="2137"/>
        <w:gridCol w:w="828"/>
        <w:gridCol w:w="768"/>
        <w:gridCol w:w="767"/>
        <w:gridCol w:w="828"/>
        <w:gridCol w:w="993"/>
        <w:gridCol w:w="722"/>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（本列数据的勾稽关系为：第一项加第二项之和，等于第三项加第四项之和）</w:t>
            </w:r>
          </w:p>
        </w:tc>
        <w:tc>
          <w:tcPr>
            <w:tcW w:w="5611" w:type="dxa"/>
            <w:gridSpan w:val="7"/>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自然人</w:t>
            </w:r>
          </w:p>
        </w:tc>
        <w:tc>
          <w:tcPr>
            <w:tcW w:w="4078" w:type="dxa"/>
            <w:gridSpan w:val="5"/>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法人或其他组织</w:t>
            </w:r>
          </w:p>
        </w:tc>
        <w:tc>
          <w:tcPr>
            <w:tcW w:w="705"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3669" w:type="dxa"/>
            <w:gridSpan w:val="3"/>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2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商业企业</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科研机构</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社会公益组织</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法律服务机构</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其他</w:t>
            </w:r>
          </w:p>
        </w:tc>
        <w:tc>
          <w:tcPr>
            <w:tcW w:w="705"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一、本年新收政府信息公开申请数量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二、上年结转政府信息公开申请数量</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三、本年度办理结果</w:t>
            </w: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（一）予以公开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（二）部分公开（区分处理的，只计这一情形，不计其他情形）</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eastAsia"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（三）不予公开</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1.属于国家秘密</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2.其他法律行政法规禁止公开</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3.危及“三安全一稳定”</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4.保护第三方合法权益</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firstLine="0" w:firstLineChars="0"/>
              <w:jc w:val="center"/>
              <w:textAlignment w:val="auto"/>
              <w:outlineLvl w:val="9"/>
              <w:rPr>
                <w:rFonts w:hint="default" w:ascii="仿宋_GB2312" w:hAnsi="仿宋_GB2312" w:eastAsia="仿宋_GB2312" w:cs="仿宋_GB2312"/>
                <w:color w:val="333333"/>
                <w:kern w:val="0"/>
                <w:sz w:val="21"/>
                <w:szCs w:val="21"/>
                <w:lang w:val="en-US" w:eastAsia="zh-CN"/>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5.属于三类内部事务信息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default"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6.属于四类过程性信息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7.属于行政执法案卷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8.属于行政查询事项</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（四）无法提供</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1.本机关不掌握相关政府信息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2.没有现成信息需要另行制作</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3.补正后申请内容仍不明确</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restart"/>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（五）不予处理</w:t>
            </w: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1.信访举报投诉类申请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2.重复申请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3.要求提供公开出版物</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4.无正当理由大量反复申请</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2"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858"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137" w:type="dxa"/>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5.要求行政机关确认或重新出具已获取信息</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（六）其他处理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674" w:type="dxa"/>
            <w:vMerge w:val="continue"/>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p>
        </w:tc>
        <w:tc>
          <w:tcPr>
            <w:tcW w:w="2995" w:type="dxa"/>
            <w:gridSpan w:val="2"/>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（七）总计</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3669" w:type="dxa"/>
            <w:gridSpan w:val="3"/>
            <w:tcBorders>
              <w:tl2br w:val="nil"/>
              <w:tr2bl w:val="nil"/>
            </w:tcBorders>
            <w:vAlign w:val="center"/>
          </w:tcPr>
          <w:p>
            <w:pPr>
              <w:widowControl/>
              <w:wordWrap/>
              <w:adjustRightInd/>
              <w:snapToGrid/>
              <w:spacing w:before="0" w:after="0" w:line="300" w:lineRule="exact"/>
              <w:ind w:left="0" w:leftChars="0" w:right="0" w:firstLine="0" w:firstLineChars="0"/>
              <w:jc w:val="left"/>
              <w:textAlignment w:val="auto"/>
              <w:outlineLvl w:val="9"/>
              <w:rPr>
                <w:rFonts w:hint="eastAsia" w:ascii="仿宋_GB2312" w:hAnsi="仿宋_GB2312" w:eastAsia="仿宋_GB2312" w:cs="仿宋_GB2312"/>
                <w:color w:val="333333"/>
                <w:kern w:val="0"/>
                <w:sz w:val="21"/>
                <w:szCs w:val="21"/>
              </w:rPr>
            </w:pPr>
            <w:r>
              <w:rPr>
                <w:rFonts w:hint="eastAsia" w:ascii="仿宋_GB2312" w:hAnsi="仿宋_GB2312" w:eastAsia="仿宋_GB2312" w:cs="仿宋_GB2312"/>
                <w:color w:val="333333"/>
                <w:sz w:val="21"/>
                <w:szCs w:val="21"/>
              </w:rPr>
              <w:t>四、结转下年度继续办理</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67"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828"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993"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22"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c>
          <w:tcPr>
            <w:tcW w:w="705" w:type="dxa"/>
            <w:tcBorders>
              <w:tl2br w:val="nil"/>
              <w:tr2bl w:val="nil"/>
            </w:tcBorders>
            <w:vAlign w:val="center"/>
          </w:tcPr>
          <w:p>
            <w:pPr>
              <w:widowControl/>
              <w:wordWrap/>
              <w:adjustRightInd/>
              <w:snapToGrid/>
              <w:spacing w:before="0" w:after="0" w:line="300" w:lineRule="exact"/>
              <w:ind w:left="0" w:leftChars="0" w:right="0" w:rightChars="0" w:firstLine="0" w:firstLineChars="0"/>
              <w:jc w:val="center"/>
              <w:textAlignment w:val="auto"/>
              <w:outlineLvl w:val="9"/>
              <w:rPr>
                <w:rFonts w:hint="eastAsia" w:ascii="仿宋_GB2312" w:hAnsi="仿宋_GB2312" w:eastAsia="仿宋_GB2312" w:cs="仿宋_GB2312"/>
                <w:color w:val="333333"/>
                <w:kern w:val="0"/>
                <w:sz w:val="21"/>
                <w:szCs w:val="21"/>
                <w:lang w:val="en-US" w:eastAsia="zh-CN" w:bidi="ar-SA"/>
              </w:rPr>
            </w:pPr>
            <w:r>
              <w:rPr>
                <w:rFonts w:hint="eastAsia" w:ascii="仿宋_GB2312" w:hAnsi="仿宋_GB2312" w:eastAsia="仿宋_GB2312" w:cs="仿宋_GB2312"/>
                <w:color w:val="333333"/>
                <w:kern w:val="0"/>
                <w:sz w:val="21"/>
                <w:szCs w:val="21"/>
                <w:lang w:val="en-US" w:eastAsia="zh-CN"/>
              </w:rPr>
              <w:t>0</w:t>
            </w:r>
          </w:p>
        </w:tc>
      </w:tr>
    </w:tbl>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4"/>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4" w:type="dxa"/>
            <w:vMerge w:val="restart"/>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continue"/>
            <w:tcBorders>
              <w:top w:val="nil"/>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nil"/>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04"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658" w:type="dxa"/>
            <w:vMerge w:val="continue"/>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left"/>
              <w:textAlignment w:val="auto"/>
              <w:outlineLvl w:val="9"/>
              <w:rPr>
                <w:rFonts w:ascii="宋体" w:hAnsi="宋体" w:cs="宋体"/>
                <w:color w:val="333333"/>
                <w:kern w:val="0"/>
                <w:szCs w:val="21"/>
              </w:rPr>
            </w:pP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其他结果</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结果维持</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结果纠正</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其他结果</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Calibri" w:hAnsi="Calibri"/>
                <w:color w:val="333333"/>
                <w:sz w:val="20"/>
                <w:szCs w:val="20"/>
              </w:rPr>
              <w:t>尚未审结</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ascii="宋体" w:hAnsi="宋体" w:cs="宋体"/>
                <w:color w:val="333333"/>
                <w:kern w:val="0"/>
                <w:szCs w:val="21"/>
              </w:rPr>
            </w:pPr>
            <w:r>
              <w:rPr>
                <w:rFonts w:hint="eastAsia" w:ascii="宋体" w:hAnsi="宋体" w:cs="宋体"/>
                <w:color w:val="000000"/>
                <w:kern w:val="0"/>
                <w:sz w:val="20"/>
                <w:szCs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4"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58"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550"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both"/>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5"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eastAsia"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c>
          <w:tcPr>
            <w:tcW w:w="606" w:type="dxa"/>
            <w:tcBorders>
              <w:top w:val="single" w:color="auto" w:sz="4" w:space="0"/>
              <w:left w:val="nil"/>
              <w:bottom w:val="single" w:color="auto" w:sz="4" w:space="0"/>
              <w:right w:val="single" w:color="auto" w:sz="4" w:space="0"/>
            </w:tcBorders>
            <w:vAlign w:val="center"/>
          </w:tcPr>
          <w:p>
            <w:pPr>
              <w:widowControl/>
              <w:wordWrap/>
              <w:adjustRightInd/>
              <w:snapToGrid/>
              <w:spacing w:before="0" w:after="0" w:line="400" w:lineRule="exact"/>
              <w:ind w:left="0" w:leftChars="0" w:right="0" w:firstLine="0" w:firstLineChars="0"/>
              <w:jc w:val="center"/>
              <w:textAlignment w:val="auto"/>
              <w:outlineLvl w:val="9"/>
              <w:rPr>
                <w:rFonts w:hint="default" w:ascii="宋体" w:hAnsi="宋体" w:eastAsia="宋体" w:cs="宋体"/>
                <w:color w:val="333333"/>
                <w:kern w:val="0"/>
                <w:szCs w:val="21"/>
                <w:lang w:val="en-US" w:eastAsia="zh-CN"/>
              </w:rPr>
            </w:pPr>
            <w:r>
              <w:rPr>
                <w:rFonts w:hint="eastAsia" w:ascii="宋体" w:hAnsi="宋体" w:cs="宋体"/>
                <w:color w:val="333333"/>
                <w:kern w:val="0"/>
                <w:szCs w:val="21"/>
                <w:lang w:val="en-US" w:eastAsia="zh-CN"/>
              </w:rPr>
              <w:t>0</w:t>
            </w:r>
          </w:p>
        </w:tc>
      </w:tr>
    </w:tbl>
    <w:p>
      <w:pPr>
        <w:widowControl/>
        <w:numPr>
          <w:ilvl w:val="0"/>
          <w:numId w:val="2"/>
        </w:numPr>
        <w:spacing w:line="576" w:lineRule="exact"/>
        <w:ind w:left="640" w:leftChars="0" w:firstLine="0" w:firstLineChars="0"/>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存在的主要问题及改进情况</w:t>
      </w:r>
    </w:p>
    <w:p>
      <w:pPr>
        <w:widowControl/>
        <w:numPr>
          <w:ilvl w:val="0"/>
          <w:numId w:val="0"/>
        </w:numPr>
        <w:spacing w:line="576" w:lineRule="exact"/>
        <w:ind w:firstLine="640" w:firstLineChars="200"/>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2020年，我局政府信息公开工作在诸多方面有了较大的进步，但与公众的需求还存在一些差距，公开内容的及时性、全面性以及公开形式的多样性、便民性等方面工作还需进一步改进。主要问题表现在：部分解释及工作人员仍对政府信息公开工作认识不到位，主动公开意识不强，对政府信息公开与政务公开的区分不够，容易混淆概念，信息发布不及时、不完善等。</w:t>
      </w:r>
    </w:p>
    <w:p>
      <w:pPr>
        <w:widowControl/>
        <w:numPr>
          <w:ilvl w:val="0"/>
          <w:numId w:val="0"/>
        </w:numPr>
        <w:spacing w:line="576" w:lineRule="exact"/>
        <w:ind w:firstLine="640" w:firstLineChars="200"/>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val="0"/>
          <w:bCs w:val="0"/>
          <w:color w:val="333333"/>
          <w:kern w:val="0"/>
          <w:sz w:val="32"/>
          <w:szCs w:val="32"/>
          <w:lang w:val="en-US" w:eastAsia="zh-CN"/>
        </w:rPr>
        <w:t>结合工作中存在的问题和不足，主要从以下方面进行改进：</w:t>
      </w:r>
    </w:p>
    <w:p>
      <w:pPr>
        <w:widowControl/>
        <w:numPr>
          <w:ilvl w:val="0"/>
          <w:numId w:val="0"/>
        </w:numPr>
        <w:spacing w:line="576" w:lineRule="exact"/>
        <w:ind w:firstLine="643" w:firstLineChars="200"/>
        <w:rPr>
          <w:rFonts w:hint="eastAsia" w:ascii="仿宋_GB2312" w:hAnsi="仿宋_GB2312" w:eastAsia="仿宋_GB2312" w:cs="仿宋_GB2312"/>
          <w:b w:val="0"/>
          <w:bCs w:val="0"/>
          <w:color w:val="333333"/>
          <w:kern w:val="0"/>
          <w:sz w:val="32"/>
          <w:szCs w:val="32"/>
          <w:lang w:val="en-US" w:eastAsia="zh-CN"/>
        </w:rPr>
      </w:pPr>
      <w:r>
        <w:rPr>
          <w:rFonts w:hint="eastAsia" w:ascii="仿宋_GB2312" w:hAnsi="仿宋_GB2312" w:eastAsia="仿宋_GB2312" w:cs="仿宋_GB2312"/>
          <w:b/>
          <w:bCs/>
          <w:color w:val="333333"/>
          <w:kern w:val="0"/>
          <w:sz w:val="32"/>
          <w:szCs w:val="32"/>
          <w:lang w:val="en-US" w:eastAsia="zh-CN"/>
        </w:rPr>
        <w:t>一是</w:t>
      </w:r>
      <w:r>
        <w:rPr>
          <w:rFonts w:hint="eastAsia" w:ascii="仿宋_GB2312" w:hAnsi="仿宋_GB2312" w:eastAsia="仿宋_GB2312" w:cs="仿宋_GB2312"/>
          <w:b w:val="0"/>
          <w:bCs w:val="0"/>
          <w:color w:val="333333"/>
          <w:kern w:val="0"/>
          <w:sz w:val="32"/>
          <w:szCs w:val="32"/>
          <w:lang w:val="en-US" w:eastAsia="zh-CN"/>
        </w:rPr>
        <w:t>加大宣传力度，努力营造政府信息公开氛围。开展更多形式的宣传活动，以干部职工和广大人民群众喜闻乐见的形式，让更多人了解政信息公开工作，进一步提高思想认识。</w:t>
      </w:r>
      <w:r>
        <w:rPr>
          <w:rFonts w:hint="eastAsia" w:ascii="仿宋_GB2312" w:hAnsi="仿宋_GB2312" w:eastAsia="仿宋_GB2312" w:cs="仿宋_GB2312"/>
          <w:b/>
          <w:bCs/>
          <w:color w:val="333333"/>
          <w:kern w:val="0"/>
          <w:sz w:val="32"/>
          <w:szCs w:val="32"/>
          <w:lang w:val="en-US" w:eastAsia="zh-CN"/>
        </w:rPr>
        <w:t>二是</w:t>
      </w:r>
      <w:r>
        <w:rPr>
          <w:rFonts w:hint="eastAsia" w:ascii="仿宋_GB2312" w:hAnsi="仿宋_GB2312" w:eastAsia="仿宋_GB2312" w:cs="仿宋_GB2312"/>
          <w:b w:val="0"/>
          <w:bCs w:val="0"/>
          <w:color w:val="333333"/>
          <w:kern w:val="0"/>
          <w:sz w:val="32"/>
          <w:szCs w:val="32"/>
          <w:lang w:val="en-US" w:eastAsia="zh-CN"/>
        </w:rPr>
        <w:t>加大政府信息公开力度，丰富内容。按照政府信息公开工作的要求，加强与上级主管部门的联系。同时，按照政策、法律规定对相关信息进行公开，丰富公开内容，不断充实和完善政府信息公开内容。</w:t>
      </w:r>
      <w:r>
        <w:rPr>
          <w:rFonts w:hint="eastAsia" w:ascii="仿宋_GB2312" w:hAnsi="仿宋_GB2312" w:eastAsia="仿宋_GB2312" w:cs="仿宋_GB2312"/>
          <w:b/>
          <w:bCs/>
          <w:color w:val="333333"/>
          <w:kern w:val="0"/>
          <w:sz w:val="32"/>
          <w:szCs w:val="32"/>
          <w:lang w:val="en-US" w:eastAsia="zh-CN"/>
        </w:rPr>
        <w:t>三是</w:t>
      </w:r>
      <w:r>
        <w:rPr>
          <w:rFonts w:hint="eastAsia" w:ascii="仿宋_GB2312" w:hAnsi="仿宋_GB2312" w:eastAsia="仿宋_GB2312" w:cs="仿宋_GB2312"/>
          <w:b w:val="0"/>
          <w:bCs w:val="0"/>
          <w:color w:val="333333"/>
          <w:kern w:val="0"/>
          <w:sz w:val="32"/>
          <w:szCs w:val="32"/>
          <w:lang w:val="en-US" w:eastAsia="zh-CN"/>
        </w:rPr>
        <w:t>加强创新力度，不断拓宽政府信息公开渠道。努力探索政府信息公开新路子、新途径，拓宽政府信息公开方式，畅通公开渠道，把人民群众普遍关心、涉及群众利益的政府信息作为我局当前政府信息工作的重点。</w:t>
      </w:r>
    </w:p>
    <w:p>
      <w:pPr>
        <w:widowControl/>
        <w:numPr>
          <w:ilvl w:val="0"/>
          <w:numId w:val="2"/>
        </w:numPr>
        <w:wordWrap/>
        <w:adjustRightInd/>
        <w:snapToGrid/>
        <w:spacing w:before="0" w:after="0" w:line="578" w:lineRule="exact"/>
        <w:ind w:left="640" w:leftChars="0" w:right="0" w:firstLine="0" w:firstLineChars="0"/>
        <w:jc w:val="both"/>
        <w:textAlignment w:val="auto"/>
        <w:outlineLvl w:val="9"/>
        <w:rPr>
          <w:rFonts w:hint="eastAsia" w:ascii="黑体" w:hAnsi="黑体" w:eastAsia="黑体" w:cs="黑体"/>
          <w:b w:val="0"/>
          <w:bCs w:val="0"/>
          <w:color w:val="333333"/>
          <w:kern w:val="0"/>
          <w:sz w:val="32"/>
          <w:szCs w:val="32"/>
        </w:rPr>
      </w:pPr>
      <w:r>
        <w:rPr>
          <w:rFonts w:hint="eastAsia" w:ascii="黑体" w:hAnsi="黑体" w:eastAsia="黑体" w:cs="黑体"/>
          <w:b w:val="0"/>
          <w:bCs w:val="0"/>
          <w:color w:val="333333"/>
          <w:kern w:val="0"/>
          <w:sz w:val="32"/>
          <w:szCs w:val="32"/>
        </w:rPr>
        <w:t>其他需要报告的事项</w:t>
      </w:r>
    </w:p>
    <w:p>
      <w:pPr>
        <w:widowControl w:val="0"/>
        <w:numPr>
          <w:ilvl w:val="0"/>
          <w:numId w:val="0"/>
        </w:numPr>
        <w:wordWrap/>
        <w:adjustRightInd/>
        <w:snapToGrid/>
        <w:spacing w:before="0" w:after="0" w:line="576" w:lineRule="exact"/>
        <w:ind w:left="0" w:leftChars="0" w:right="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无。</w:t>
      </w:r>
    </w:p>
    <w:sectPr>
      <w:headerReference r:id="rId3" w:type="default"/>
      <w:footerReference r:id="rId4" w:type="default"/>
      <w:pgMar w:top="2154" w:right="1474" w:bottom="1134" w:left="1531" w:header="720" w:footer="720" w:gutter="0"/>
      <w:pgBorders>
        <w:top w:val="none" w:sz="0" w:space="0"/>
        <w:left w:val="none" w:sz="0" w:space="0"/>
        <w:bottom w:val="none" w:sz="0" w:space="0"/>
        <w:right w:val="none" w:sz="0" w:space="0"/>
      </w:pgBorders>
      <w:pgNumType w:fmt="numberInDash"/>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kern w:val="2"/>
        <w:sz w:val="18"/>
        <w:szCs w:val="18"/>
        <w:lang w:val="en-US" w:eastAsia="zh-CN" w:bidi="ar-SA"/>
      </w:rPr>
      <w:pict>
        <v:shape id="文本框1" o:spid="_x0000_s4097" o:spt="202" type="#_x0000_t202" style="position:absolute;left:0pt;margin-top:0pt;height:144pt;width:144pt;mso-position-horizontal:outside;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hint="eastAsia" w:eastAsia="宋体"/>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D1F6ED"/>
    <w:multiLevelType w:val="singleLevel"/>
    <w:tmpl w:val="D9D1F6ED"/>
    <w:lvl w:ilvl="0" w:tentative="0">
      <w:start w:val="1"/>
      <w:numFmt w:val="chineseCounting"/>
      <w:suff w:val="nothing"/>
      <w:lvlText w:val="%1、"/>
      <w:lvlJc w:val="left"/>
      <w:pPr>
        <w:ind w:left="640" w:leftChars="0" w:firstLine="0" w:firstLineChars="0"/>
      </w:pPr>
      <w:rPr>
        <w:rFonts w:hint="eastAsia"/>
      </w:rPr>
    </w:lvl>
  </w:abstractNum>
  <w:abstractNum w:abstractNumId="1">
    <w:nsid w:val="07F63AE6"/>
    <w:multiLevelType w:val="singleLevel"/>
    <w:tmpl w:val="07F63AE6"/>
    <w:lvl w:ilvl="0" w:tentative="0">
      <w:start w:val="5"/>
      <w:numFmt w:val="chineseCounting"/>
      <w:suff w:val="nothing"/>
      <w:lvlText w:val="%1、"/>
      <w:lvlJc w:val="left"/>
      <w:pPr>
        <w:ind w:left="640" w:leftChars="0" w:firstLine="0" w:firstLineChars="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176C25F5"/>
    <w:rsid w:val="31BD6BFC"/>
    <w:rsid w:val="34C0797E"/>
    <w:rsid w:val="385671FF"/>
    <w:rsid w:val="65F6126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0"/>
    <w:rPr>
      <w:rFonts w:ascii="Times New Roman" w:hAnsi="Times New Roman" w:cs="Times New Roman"/>
      <w:szCs w:val="20"/>
    </w:rPr>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szCs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6">
    <w:name w:val="page number"/>
    <w:basedOn w:val="5"/>
    <w:semiHidden/>
    <w:unhideWhenUsed/>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2020-12-16T07:30:00Z</dcterms:created>
  <dc:creator>Administrator.USER-20190808OK</dc:creator>
  <cp:lastModifiedBy>Administrator</cp:lastModifiedBy>
  <cp:lastPrinted>2020-12-25T10:16:00Z</cp:lastPrinted>
  <dcterms:modified xsi:type="dcterms:W3CDTF">2021-01-06T04:40:04Z</dcterms:modified>
  <dc:title>XXX2020年政府信息公开工作年度报告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